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436" w:rsidRPr="001C35A3" w:rsidRDefault="00531436" w:rsidP="00531436">
      <w:pPr>
        <w:spacing w:after="0" w:line="240" w:lineRule="auto"/>
        <w:ind w:left="5664" w:firstLine="709"/>
        <w:jc w:val="right"/>
        <w:rPr>
          <w:rFonts w:ascii="Times New Roman" w:hAnsi="Times New Roman"/>
          <w:sz w:val="28"/>
          <w:szCs w:val="28"/>
        </w:rPr>
      </w:pPr>
      <w:r w:rsidRPr="001C35A3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</w:t>
      </w:r>
      <w:r w:rsidRPr="001C35A3">
        <w:rPr>
          <w:rFonts w:ascii="Times New Roman" w:hAnsi="Times New Roman"/>
          <w:sz w:val="28"/>
          <w:szCs w:val="28"/>
        </w:rPr>
        <w:t xml:space="preserve"> приказом</w:t>
      </w:r>
    </w:p>
    <w:p w:rsidR="00531436" w:rsidRPr="001C35A3" w:rsidRDefault="00531436" w:rsidP="00531436">
      <w:pPr>
        <w:autoSpaceDE w:val="0"/>
        <w:autoSpaceDN w:val="0"/>
        <w:adjustRightInd w:val="0"/>
        <w:spacing w:after="0" w:line="240" w:lineRule="auto"/>
        <w:ind w:left="5103" w:firstLine="709"/>
        <w:jc w:val="right"/>
        <w:rPr>
          <w:rFonts w:ascii="Times New Roman" w:hAnsi="Times New Roman"/>
          <w:sz w:val="28"/>
          <w:szCs w:val="28"/>
        </w:rPr>
      </w:pPr>
      <w:r w:rsidRPr="001C35A3">
        <w:rPr>
          <w:rFonts w:ascii="Times New Roman" w:hAnsi="Times New Roman"/>
          <w:sz w:val="28"/>
          <w:szCs w:val="28"/>
        </w:rPr>
        <w:t>ГБУЗ «Кузнецкая ЦРБ»</w:t>
      </w:r>
    </w:p>
    <w:p w:rsidR="00531436" w:rsidRPr="001C35A3" w:rsidRDefault="00531436" w:rsidP="0053143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C35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17.12.</w:t>
      </w:r>
      <w:r w:rsidRPr="001C35A3">
        <w:rPr>
          <w:rFonts w:ascii="Times New Roman" w:hAnsi="Times New Roman"/>
          <w:sz w:val="28"/>
          <w:szCs w:val="28"/>
        </w:rPr>
        <w:t xml:space="preserve">2025 № </w:t>
      </w:r>
      <w:r w:rsidR="00D96616">
        <w:rPr>
          <w:rFonts w:ascii="Times New Roman" w:hAnsi="Times New Roman"/>
          <w:sz w:val="28"/>
          <w:szCs w:val="28"/>
        </w:rPr>
        <w:t>315</w:t>
      </w:r>
    </w:p>
    <w:p w:rsidR="00531436" w:rsidRDefault="00531436" w:rsidP="005314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:rsidR="00531436" w:rsidRPr="00531436" w:rsidRDefault="00F77DBF" w:rsidP="005314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1436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531436" w:rsidRPr="00531436">
        <w:rPr>
          <w:rFonts w:ascii="Times New Roman" w:eastAsia="Calibri" w:hAnsi="Times New Roman" w:cs="Times New Roman"/>
          <w:b/>
          <w:sz w:val="28"/>
          <w:szCs w:val="28"/>
        </w:rPr>
        <w:t>государственн</w:t>
      </w:r>
      <w:r w:rsidR="00531436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531436" w:rsidRPr="00531436">
        <w:rPr>
          <w:rFonts w:ascii="Times New Roman" w:eastAsia="Calibri" w:hAnsi="Times New Roman" w:cs="Times New Roman"/>
          <w:b/>
          <w:sz w:val="28"/>
          <w:szCs w:val="28"/>
        </w:rPr>
        <w:t>м бюджетн</w:t>
      </w:r>
      <w:r w:rsidR="00531436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531436" w:rsidRPr="00531436">
        <w:rPr>
          <w:rFonts w:ascii="Times New Roman" w:eastAsia="Calibri" w:hAnsi="Times New Roman" w:cs="Times New Roman"/>
          <w:b/>
          <w:sz w:val="28"/>
          <w:szCs w:val="28"/>
        </w:rPr>
        <w:t>м учреждени</w:t>
      </w:r>
      <w:r w:rsidR="00531436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531436" w:rsidRPr="00531436">
        <w:rPr>
          <w:rFonts w:ascii="Times New Roman" w:eastAsia="Calibri" w:hAnsi="Times New Roman" w:cs="Times New Roman"/>
          <w:b/>
          <w:sz w:val="28"/>
          <w:szCs w:val="28"/>
        </w:rPr>
        <w:t xml:space="preserve"> здравоохранения </w:t>
      </w:r>
    </w:p>
    <w:p w:rsidR="00F77DBF" w:rsidRPr="00531436" w:rsidRDefault="00531436" w:rsidP="005314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1436">
        <w:rPr>
          <w:rFonts w:ascii="Times New Roman" w:eastAsia="Calibri" w:hAnsi="Times New Roman" w:cs="Times New Roman"/>
          <w:b/>
          <w:sz w:val="28"/>
          <w:szCs w:val="28"/>
        </w:rPr>
        <w:t>«Кузнецкая центральная районная больница»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:rsidR="00F77DBF" w:rsidRPr="00DF6F99" w:rsidRDefault="00F77DBF" w:rsidP="007C41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1.1. </w:t>
      </w: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Правила обмена деловыми подарками и знаками делового гостеприимства в </w:t>
      </w:r>
      <w:r w:rsidR="00531436">
        <w:rPr>
          <w:rFonts w:ascii="Times New Roman" w:eastAsia="Calibri" w:hAnsi="Times New Roman" w:cs="Times New Roman"/>
          <w:i/>
          <w:sz w:val="24"/>
          <w:szCs w:val="24"/>
        </w:rPr>
        <w:t>ГБУЗ «Кузнецкая ЦРБ»</w:t>
      </w:r>
      <w:r w:rsidR="007C41E7" w:rsidRPr="00DF6F99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DF6F9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  <w:proofErr w:type="gramEnd"/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1.2. Правила определяют единые для всех работников </w:t>
      </w:r>
      <w:r w:rsidR="00531436">
        <w:rPr>
          <w:rFonts w:ascii="Times New Roman" w:eastAsia="Calibri" w:hAnsi="Times New Roman" w:cs="Times New Roman"/>
          <w:i/>
          <w:sz w:val="24"/>
          <w:szCs w:val="24"/>
        </w:rPr>
        <w:t>ГБУЗ «</w:t>
      </w:r>
      <w:proofErr w:type="gramStart"/>
      <w:r w:rsidR="00531436">
        <w:rPr>
          <w:rFonts w:ascii="Times New Roman" w:eastAsia="Calibri" w:hAnsi="Times New Roman" w:cs="Times New Roman"/>
          <w:i/>
          <w:sz w:val="24"/>
          <w:szCs w:val="24"/>
        </w:rPr>
        <w:t>Кузнецкая</w:t>
      </w:r>
      <w:proofErr w:type="gramEnd"/>
      <w:r w:rsidR="00531436">
        <w:rPr>
          <w:rFonts w:ascii="Times New Roman" w:eastAsia="Calibri" w:hAnsi="Times New Roman" w:cs="Times New Roman"/>
          <w:i/>
          <w:sz w:val="24"/>
          <w:szCs w:val="24"/>
        </w:rPr>
        <w:t xml:space="preserve"> ЦРБ»</w:t>
      </w:r>
      <w:r w:rsidRPr="00DF6F9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Учреждение) требования к дарению и принятию деловых подарков.</w:t>
      </w:r>
    </w:p>
    <w:p w:rsidR="00F77DBF" w:rsidRPr="00DF6F99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</w:t>
      </w:r>
      <w:bookmarkStart w:id="0" w:name="_GoBack"/>
      <w:bookmarkEnd w:id="0"/>
      <w:r w:rsidRPr="00DF6F99">
        <w:rPr>
          <w:rFonts w:ascii="Times New Roman" w:eastAsia="Calibri" w:hAnsi="Times New Roman" w:cs="Times New Roman"/>
          <w:sz w:val="24"/>
          <w:szCs w:val="24"/>
        </w:rPr>
        <w:t>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2. Требования, предъявляемые к деловым подаркам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и знакам делового гостеприимства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</w:t>
      </w: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быть прямо связаны</w:t>
      </w:r>
      <w:proofErr w:type="gramEnd"/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  <w:proofErr w:type="gramEnd"/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3. Права и обязанности работников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Учреждения при обмене деловыми подарками и знаками делового гостеприимства 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3.11. Работник Учреждения которому при выполнении должностных обязанностей предлагаются подарки или иное </w:t>
      </w: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вознаграждение</w:t>
      </w:r>
      <w:proofErr w:type="gramEnd"/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</w:t>
      </w: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случае</w:t>
      </w:r>
      <w:proofErr w:type="gramEnd"/>
      <w:r w:rsidRPr="00DF6F99">
        <w:rPr>
          <w:rFonts w:ascii="Times New Roman" w:eastAsia="Calibri" w:hAnsi="Times New Roman" w:cs="Times New Roman"/>
          <w:sz w:val="24"/>
          <w:szCs w:val="24"/>
        </w:rPr>
        <w:t>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3.13. Работникам Учреждения запрещается: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- принимать подарки в виде наличных, безналичных денежных средств, ценных бумаг, драгоценных металлов.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DF6F99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F77DBF" w:rsidRPr="00DF6F99" w:rsidSect="005314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00E" w:rsidRDefault="00CA500E" w:rsidP="00F77DBF">
      <w:pPr>
        <w:spacing w:after="0" w:line="240" w:lineRule="auto"/>
      </w:pPr>
      <w:r>
        <w:separator/>
      </w:r>
    </w:p>
  </w:endnote>
  <w:endnote w:type="continuationSeparator" w:id="0">
    <w:p w:rsidR="00CA500E" w:rsidRDefault="00CA500E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00E" w:rsidRDefault="00CA500E" w:rsidP="00F77DBF">
      <w:pPr>
        <w:spacing w:after="0" w:line="240" w:lineRule="auto"/>
      </w:pPr>
      <w:r>
        <w:separator/>
      </w:r>
    </w:p>
  </w:footnote>
  <w:footnote w:type="continuationSeparator" w:id="0">
    <w:p w:rsidR="00CA500E" w:rsidRDefault="00CA500E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06647A5"/>
    <w:multiLevelType w:val="hybridMultilevel"/>
    <w:tmpl w:val="D74AAE92"/>
    <w:lvl w:ilvl="0" w:tplc="87D09CE0">
      <w:start w:val="1"/>
      <w:numFmt w:val="decimal"/>
      <w:lvlText w:val="%1."/>
      <w:lvlJc w:val="left"/>
      <w:pPr>
        <w:ind w:left="904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2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1E7"/>
    <w:rsid w:val="000835F5"/>
    <w:rsid w:val="000A5158"/>
    <w:rsid w:val="00106686"/>
    <w:rsid w:val="002F4290"/>
    <w:rsid w:val="003C56FD"/>
    <w:rsid w:val="003E50C1"/>
    <w:rsid w:val="00475560"/>
    <w:rsid w:val="004D4A85"/>
    <w:rsid w:val="00531436"/>
    <w:rsid w:val="005F1398"/>
    <w:rsid w:val="00623D9B"/>
    <w:rsid w:val="007728A2"/>
    <w:rsid w:val="007C20FD"/>
    <w:rsid w:val="007C41E7"/>
    <w:rsid w:val="00A001E7"/>
    <w:rsid w:val="00A17C11"/>
    <w:rsid w:val="00B8756B"/>
    <w:rsid w:val="00B94018"/>
    <w:rsid w:val="00CA500E"/>
    <w:rsid w:val="00D96616"/>
    <w:rsid w:val="00DF6F99"/>
    <w:rsid w:val="00E76BA8"/>
    <w:rsid w:val="00F3640E"/>
    <w:rsid w:val="00F77DBF"/>
    <w:rsid w:val="00F976EE"/>
    <w:rsid w:val="00FC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D9B"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99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  <w:style w:type="paragraph" w:customStyle="1" w:styleId="ConsTitle">
    <w:name w:val="ConsTitle"/>
    <w:rsid w:val="00531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kadr-m3</cp:lastModifiedBy>
  <cp:revision>3</cp:revision>
  <cp:lastPrinted>2025-12-17T11:46:00Z</cp:lastPrinted>
  <dcterms:created xsi:type="dcterms:W3CDTF">2025-12-17T12:11:00Z</dcterms:created>
  <dcterms:modified xsi:type="dcterms:W3CDTF">2025-12-17T12:12:00Z</dcterms:modified>
</cp:coreProperties>
</file>